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5 AI ASSIST</w:t>
      </w:r>
    </w:p>
    <w:p>
      <w:pPr>
        <w:pStyle w:val="Title"/>
      </w:pPr>
      <w:r>
        <w:t>Medication &amp; Treatment List</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Review the supplied records and draft Tool 5 Medication &amp; Treatment List using only medications, therapies, procedures, devices, and other treatments explicitly documented in the supplied material. Preserve Tool 5's exact fields and structure.</w:t>
              <w:br/>
              <w:br/>
              <w:t>For each item, identify the medication or treatment, type/category, condition or reason only when the source establishes it, provider/facility when established, start/end dates or date range only when supported, current status only when supported, documented response/outcome only when supported, and source/location when the tool provides for it.</w:t>
              <w:br/>
              <w:br/>
              <w:t>Do not infer why a medication was prescribed from nearby diagnoses, problem-list entries, or the general context of the encounter. If medication status conflicts across sources, preserve the conflict rather than choosing one version. Do not infer treatment success, duration of benefit, current use, or lasting improvement. Keep temporary responses tied to the documented duration or encounter.</w:t>
              <w:br/>
              <w:br/>
              <w:t>Before declaring the draft complete, examine every expected field in every populated row for unsupported attribution, partial entries, or unexplained blanks. If a field cannot be established, leave it blank or mark it as not established as appropriate.</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